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黑龙江省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勘察设计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技术专家库管理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办法（试行）</w:t>
      </w:r>
    </w:p>
    <w:p>
      <w:pPr>
        <w:shd w:val="clear" w:color="auto" w:fill="FFFFFF"/>
        <w:spacing w:before="156" w:beforeLines="50" w:after="156" w:afterLines="50" w:line="600" w:lineRule="exact"/>
        <w:ind w:firstLine="3012" w:firstLineChars="1000"/>
        <w:jc w:val="both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第一章  总  则</w:t>
      </w:r>
    </w:p>
    <w:p>
      <w:pPr>
        <w:pStyle w:val="3"/>
        <w:numPr>
          <w:ilvl w:val="0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第一条  </w:t>
      </w:r>
      <w:r>
        <w:rPr>
          <w:rFonts w:hint="eastAsia" w:ascii="宋体" w:hAnsi="宋体" w:eastAsia="宋体" w:cs="宋体"/>
          <w:sz w:val="30"/>
          <w:szCs w:val="30"/>
        </w:rPr>
        <w:t>为充分发挥行业技术专家的智慧和作用，正确把握和引领行业技术发展方向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val="en-US" w:eastAsia="zh-CN"/>
        </w:rPr>
        <w:t>黑龙江省</w:t>
      </w:r>
      <w:r>
        <w:rPr>
          <w:rFonts w:hint="eastAsia" w:ascii="宋体" w:hAnsi="宋体" w:eastAsia="宋体" w:cs="宋体"/>
          <w:sz w:val="30"/>
          <w:szCs w:val="30"/>
        </w:rPr>
        <w:t>勘察设计协会（以下简称协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）决定建立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黑龙江省</w:t>
      </w:r>
      <w:r>
        <w:rPr>
          <w:rFonts w:hint="eastAsia" w:ascii="宋体" w:hAnsi="宋体" w:eastAsia="宋体" w:cs="宋体"/>
          <w:sz w:val="30"/>
          <w:szCs w:val="30"/>
        </w:rPr>
        <w:t>勘察设计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行业</w:t>
      </w:r>
      <w:r>
        <w:rPr>
          <w:rFonts w:hint="eastAsia" w:ascii="宋体" w:hAnsi="宋体" w:eastAsia="宋体" w:cs="宋体"/>
          <w:sz w:val="30"/>
          <w:szCs w:val="30"/>
        </w:rPr>
        <w:t>技术专家库（以下简称技术专家库）。为规范技术专家库及入库专家的管理工作，制定本办法。</w:t>
      </w:r>
    </w:p>
    <w:p>
      <w:pPr>
        <w:pStyle w:val="3"/>
        <w:numPr>
          <w:ilvl w:val="1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第二条  </w:t>
      </w:r>
      <w:r>
        <w:rPr>
          <w:rFonts w:hint="eastAsia" w:ascii="宋体" w:hAnsi="宋体" w:eastAsia="宋体" w:cs="宋体"/>
          <w:sz w:val="30"/>
          <w:szCs w:val="30"/>
        </w:rPr>
        <w:t>技术专家库是协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的技术智库，在协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领导下开展工作，对内参与协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组织的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行业</w:t>
      </w:r>
      <w:r>
        <w:rPr>
          <w:rFonts w:hint="eastAsia" w:ascii="宋体" w:hAnsi="宋体" w:eastAsia="宋体" w:cs="宋体"/>
          <w:sz w:val="30"/>
          <w:szCs w:val="30"/>
        </w:rPr>
        <w:t>标准制定、课题研究、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黑龙江省</w:t>
      </w:r>
      <w:r>
        <w:rPr>
          <w:rFonts w:hint="eastAsia" w:ascii="宋体" w:hAnsi="宋体" w:eastAsia="宋体" w:cs="宋体"/>
          <w:sz w:val="30"/>
          <w:szCs w:val="30"/>
        </w:rPr>
        <w:t>优秀勘察设计奖和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黑龙江省勘察设计行业</w:t>
      </w:r>
      <w:r>
        <w:rPr>
          <w:rFonts w:hint="eastAsia" w:ascii="宋体" w:hAnsi="宋体" w:eastAsia="宋体" w:cs="宋体"/>
          <w:sz w:val="30"/>
          <w:szCs w:val="30"/>
        </w:rPr>
        <w:t>科学技术奖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黑龙江省</w:t>
      </w:r>
      <w:r>
        <w:rPr>
          <w:rFonts w:hint="eastAsia" w:ascii="宋体" w:hAnsi="宋体" w:eastAsia="宋体" w:cs="宋体"/>
          <w:sz w:val="30"/>
          <w:szCs w:val="30"/>
        </w:rPr>
        <w:t>工程勘察的评审、科技成果鉴定等活动；对外受协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 xml:space="preserve">委托参与政府、企业、科研院所的重大技术活动，促进行业科学技术进步及新技术的研发和应用。 </w:t>
      </w:r>
    </w:p>
    <w:p>
      <w:pPr>
        <w:pStyle w:val="3"/>
        <w:numPr>
          <w:ilvl w:val="1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第三条  </w:t>
      </w:r>
      <w:r>
        <w:rPr>
          <w:rFonts w:hint="eastAsia" w:ascii="宋体" w:hAnsi="宋体" w:eastAsia="宋体" w:cs="宋体"/>
          <w:sz w:val="30"/>
          <w:szCs w:val="30"/>
        </w:rPr>
        <w:t>技术专家库由协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负责管理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技术专家库日常办事机构设在协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秘书处。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我省工程勘察设计大师和各专业委员会</w:t>
      </w:r>
      <w:r>
        <w:rPr>
          <w:rFonts w:hint="eastAsia" w:ascii="宋体" w:hAnsi="宋体" w:eastAsia="宋体" w:cs="宋体"/>
          <w:sz w:val="30"/>
          <w:szCs w:val="30"/>
        </w:rPr>
        <w:t>技术专家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的产生均从技术专家库入库专家中推荐。</w:t>
      </w:r>
    </w:p>
    <w:p>
      <w:pPr>
        <w:shd w:val="clear" w:color="auto" w:fill="FFFFFF"/>
        <w:spacing w:before="156" w:beforeLines="50" w:after="156" w:afterLines="50"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第二章  组成和结构</w:t>
      </w:r>
    </w:p>
    <w:p>
      <w:pPr>
        <w:pStyle w:val="3"/>
        <w:numPr>
          <w:ilvl w:val="0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第四条  </w:t>
      </w:r>
      <w:r>
        <w:rPr>
          <w:rFonts w:hint="eastAsia" w:ascii="宋体" w:hAnsi="宋体" w:eastAsia="宋体" w:cs="宋体"/>
          <w:sz w:val="30"/>
          <w:szCs w:val="30"/>
        </w:rPr>
        <w:t>技术专家库的专家组成</w:t>
      </w:r>
    </w:p>
    <w:p>
      <w:pPr>
        <w:pStyle w:val="3"/>
        <w:numPr>
          <w:ilvl w:val="0"/>
          <w:numId w:val="0"/>
        </w:numPr>
        <w:spacing w:line="60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技术专家库按照专业完善、结构合理、满足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需求</w:t>
      </w:r>
      <w:r>
        <w:rPr>
          <w:rFonts w:hint="eastAsia" w:ascii="宋体" w:hAnsi="宋体" w:eastAsia="宋体" w:cs="宋体"/>
          <w:sz w:val="30"/>
          <w:szCs w:val="30"/>
        </w:rPr>
        <w:t>等原则建立，由行业内理论水平高和实践经验丰富的技术专家组成，可根据需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求</w:t>
      </w:r>
      <w:r>
        <w:rPr>
          <w:rFonts w:hint="eastAsia" w:ascii="宋体" w:hAnsi="宋体" w:eastAsia="宋体" w:cs="宋体"/>
          <w:sz w:val="30"/>
          <w:szCs w:val="30"/>
        </w:rPr>
        <w:t>吸纳工程建设全过程业务方面的技术专家入库。</w:t>
      </w:r>
    </w:p>
    <w:p>
      <w:pPr>
        <w:pStyle w:val="3"/>
        <w:numPr>
          <w:ilvl w:val="0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第五条  </w:t>
      </w:r>
      <w:r>
        <w:rPr>
          <w:rFonts w:hint="eastAsia" w:ascii="宋体" w:hAnsi="宋体" w:eastAsia="宋体" w:cs="宋体"/>
          <w:sz w:val="30"/>
          <w:szCs w:val="30"/>
        </w:rPr>
        <w:t>技术专家库的结构</w:t>
      </w:r>
    </w:p>
    <w:p>
      <w:pPr>
        <w:pStyle w:val="3"/>
        <w:numPr>
          <w:ilvl w:val="0"/>
          <w:numId w:val="0"/>
        </w:numPr>
        <w:spacing w:line="60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bookmarkStart w:id="0" w:name="_Hlk38619489"/>
      <w:r>
        <w:rPr>
          <w:rFonts w:hint="eastAsia" w:ascii="宋体" w:hAnsi="宋体" w:eastAsia="宋体" w:cs="宋体"/>
          <w:sz w:val="30"/>
          <w:szCs w:val="30"/>
        </w:rPr>
        <w:t>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根据行业及市场发展的需要，按照专业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划</w:t>
      </w:r>
      <w:r>
        <w:rPr>
          <w:rFonts w:hint="eastAsia" w:ascii="宋体" w:hAnsi="宋体" w:eastAsia="宋体" w:cs="宋体"/>
          <w:sz w:val="30"/>
          <w:szCs w:val="30"/>
        </w:rPr>
        <w:t>分、</w:t>
      </w:r>
      <w:bookmarkStart w:id="1" w:name="OLE_LINK2"/>
      <w:r>
        <w:rPr>
          <w:rFonts w:hint="eastAsia" w:ascii="宋体" w:hAnsi="宋体" w:eastAsia="宋体" w:cs="宋体"/>
          <w:sz w:val="30"/>
          <w:szCs w:val="30"/>
        </w:rPr>
        <w:t>工程全生命周期业务</w:t>
      </w:r>
      <w:bookmarkEnd w:id="1"/>
      <w:r>
        <w:rPr>
          <w:rFonts w:hint="eastAsia" w:ascii="宋体" w:hAnsi="宋体" w:eastAsia="宋体" w:cs="宋体"/>
          <w:sz w:val="30"/>
          <w:szCs w:val="30"/>
        </w:rPr>
        <w:t>、技术特长、工作单位、工作岗位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类别</w:t>
      </w:r>
      <w:r>
        <w:rPr>
          <w:rFonts w:hint="eastAsia" w:ascii="宋体" w:hAnsi="宋体" w:eastAsia="宋体" w:cs="宋体"/>
          <w:sz w:val="30"/>
          <w:szCs w:val="30"/>
        </w:rPr>
        <w:t>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范围</w:t>
      </w:r>
      <w:r>
        <w:rPr>
          <w:rFonts w:hint="eastAsia" w:ascii="宋体" w:hAnsi="宋体" w:eastAsia="宋体" w:cs="宋体"/>
          <w:sz w:val="30"/>
          <w:szCs w:val="30"/>
        </w:rPr>
        <w:t>建立。</w:t>
      </w:r>
      <w:bookmarkEnd w:id="0"/>
    </w:p>
    <w:p>
      <w:pPr>
        <w:shd w:val="clear" w:color="auto" w:fill="FFFFFF"/>
        <w:spacing w:before="156" w:beforeLines="50" w:after="156" w:afterLines="50"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第三章 入库专家条件</w:t>
      </w:r>
    </w:p>
    <w:p>
      <w:pPr>
        <w:pStyle w:val="3"/>
        <w:numPr>
          <w:ilvl w:val="0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第六条  </w:t>
      </w:r>
      <w:r>
        <w:rPr>
          <w:rFonts w:hint="eastAsia" w:ascii="宋体" w:hAnsi="宋体" w:eastAsia="宋体" w:cs="宋体"/>
          <w:sz w:val="30"/>
          <w:szCs w:val="30"/>
        </w:rPr>
        <w:t>入库专家具备的基本条件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（一）有很强的使命感和责任感，坚持原则，实事求是，公平公正，敢于充分发表意见；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（二）具有严谨扎实的理论基础，对本专业国内外技术发展趋势具有前瞻性和独特见解。在行业具有较高知名度和影响力；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（三）能够参加咨询、评审、调研等工作；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（四）身体健康，年龄不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满70</w:t>
      </w:r>
      <w:r>
        <w:rPr>
          <w:rFonts w:hint="eastAsia" w:ascii="宋体" w:hAnsi="宋体" w:eastAsia="宋体" w:cs="宋体"/>
          <w:bCs/>
          <w:sz w:val="30"/>
          <w:szCs w:val="30"/>
        </w:rPr>
        <w:t>周岁</w:t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（五）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凡具有国家工程勘察设计大师、省级大师称号，经个人申请，直接列入专家库；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（六）应具</w:t>
      </w:r>
      <w:r>
        <w:rPr>
          <w:rFonts w:hint="eastAsia" w:ascii="宋体" w:hAnsi="宋体" w:eastAsia="宋体" w:cs="宋体"/>
          <w:bCs/>
          <w:sz w:val="30"/>
          <w:szCs w:val="30"/>
        </w:rPr>
        <w:t>有15年以上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30"/>
          <w:szCs w:val="30"/>
        </w:rPr>
        <w:t>技术工作经历，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本科以上学历毕业</w:t>
      </w:r>
      <w:r>
        <w:rPr>
          <w:rFonts w:hint="eastAsia" w:ascii="宋体" w:hAnsi="宋体" w:eastAsia="宋体" w:cs="宋体"/>
          <w:bCs/>
          <w:sz w:val="30"/>
          <w:szCs w:val="30"/>
        </w:rPr>
        <w:t>，具有丰富的实践经验和实际工作成果；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（七）国家已经实行执业注册的专业，必须具备一级注册资格，或具有正高级以上技术职称；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（八）没有实行执业注册的专业，应具有正高级以上技术职称；</w:t>
      </w:r>
    </w:p>
    <w:p>
      <w:pPr>
        <w:bidi w:val="0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大专院校教师原则上应具有副高级以上职称（已取得相应专业一级注册执业资格的除外），且已发表高水平科研论文（包括SCI、SSCI、A&amp;HCI、CSSCI、中文核心期刊）1篇以上或获得省部级科研成果一等奖或二等奖1项。</w:t>
      </w:r>
    </w:p>
    <w:p>
      <w:pPr>
        <w:shd w:val="clear" w:color="auto" w:fill="FFFFFF"/>
        <w:spacing w:before="156" w:beforeLines="50" w:after="156" w:afterLines="50" w:line="600" w:lineRule="exact"/>
        <w:ind w:firstLine="2711" w:firstLineChars="900"/>
        <w:jc w:val="both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第四章 管理与使用</w:t>
      </w:r>
    </w:p>
    <w:p>
      <w:pPr>
        <w:spacing w:line="600" w:lineRule="exact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第七条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专家库的管理 </w:t>
      </w:r>
    </w:p>
    <w:p>
      <w:pPr>
        <w:pStyle w:val="3"/>
        <w:numPr>
          <w:ilvl w:val="0"/>
          <w:numId w:val="0"/>
        </w:numPr>
        <w:spacing w:line="60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bookmarkStart w:id="2" w:name="_Hlk38619645"/>
      <w:r>
        <w:rPr>
          <w:rFonts w:hint="eastAsia" w:ascii="宋体" w:hAnsi="宋体" w:eastAsia="宋体" w:cs="宋体"/>
          <w:sz w:val="30"/>
          <w:szCs w:val="30"/>
        </w:rPr>
        <w:t>（一）入库专家由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本人所在单位</w:t>
      </w:r>
      <w:r>
        <w:rPr>
          <w:rFonts w:hint="eastAsia" w:ascii="宋体" w:hAnsi="宋体" w:eastAsia="宋体" w:cs="宋体"/>
          <w:sz w:val="30"/>
          <w:szCs w:val="30"/>
        </w:rPr>
        <w:t>和协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分支机构推荐，协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秘书处对申报材料进行审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核</w:t>
      </w:r>
      <w:r>
        <w:rPr>
          <w:rFonts w:hint="eastAsia" w:ascii="宋体" w:hAnsi="宋体" w:eastAsia="宋体" w:cs="宋体"/>
          <w:sz w:val="30"/>
          <w:szCs w:val="30"/>
        </w:rPr>
        <w:t>，组织协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技术专家委员会和协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分支机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构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成员</w:t>
      </w:r>
      <w:r>
        <w:rPr>
          <w:rFonts w:hint="eastAsia" w:ascii="宋体" w:hAnsi="宋体" w:eastAsia="宋体" w:cs="宋体"/>
          <w:sz w:val="30"/>
          <w:szCs w:val="30"/>
        </w:rPr>
        <w:t>进行资格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评</w:t>
      </w:r>
      <w:r>
        <w:rPr>
          <w:rFonts w:hint="eastAsia" w:ascii="宋体" w:hAnsi="宋体" w:eastAsia="宋体" w:cs="宋体"/>
          <w:sz w:val="30"/>
          <w:szCs w:val="30"/>
        </w:rPr>
        <w:t>审，并根据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行业各专业</w:t>
      </w:r>
      <w:r>
        <w:rPr>
          <w:rFonts w:hint="eastAsia" w:ascii="宋体" w:hAnsi="宋体" w:eastAsia="宋体" w:cs="宋体"/>
          <w:sz w:val="30"/>
          <w:szCs w:val="30"/>
        </w:rPr>
        <w:t>规模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及</w:t>
      </w:r>
      <w:r>
        <w:rPr>
          <w:rFonts w:hint="eastAsia" w:ascii="宋体" w:hAnsi="宋体" w:eastAsia="宋体" w:cs="宋体"/>
          <w:sz w:val="30"/>
          <w:szCs w:val="30"/>
        </w:rPr>
        <w:t>限制条件提出入库专家建议名单，经协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理事长办公会批准予以公布；</w:t>
      </w:r>
    </w:p>
    <w:bookmarkEnd w:id="2"/>
    <w:p>
      <w:pPr>
        <w:pStyle w:val="36"/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</w:rPr>
        <w:t>（二）协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bCs w:val="0"/>
          <w:sz w:val="30"/>
          <w:szCs w:val="30"/>
        </w:rPr>
        <w:t>对入库</w:t>
      </w:r>
      <w:r>
        <w:rPr>
          <w:rFonts w:hint="eastAsia" w:ascii="宋体" w:hAnsi="宋体" w:eastAsia="宋体" w:cs="宋体"/>
          <w:sz w:val="30"/>
          <w:szCs w:val="30"/>
        </w:rPr>
        <w:t>专家实行动态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化</w:t>
      </w:r>
      <w:r>
        <w:rPr>
          <w:rFonts w:hint="eastAsia" w:ascii="宋体" w:hAnsi="宋体" w:eastAsia="宋体" w:cs="宋体"/>
          <w:sz w:val="30"/>
          <w:szCs w:val="30"/>
        </w:rPr>
        <w:t>管理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机制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hint="eastAsia" w:ascii="宋体" w:hAnsi="宋体" w:eastAsia="宋体" w:cs="宋体"/>
          <w:bCs w:val="0"/>
          <w:sz w:val="30"/>
          <w:szCs w:val="30"/>
        </w:rPr>
        <w:t>每年进行更新，并公布新</w:t>
      </w:r>
      <w:r>
        <w:rPr>
          <w:rFonts w:hint="eastAsia" w:ascii="宋体" w:hAnsi="宋体" w:eastAsia="宋体" w:cs="宋体"/>
          <w:bCs w:val="0"/>
          <w:sz w:val="30"/>
          <w:szCs w:val="30"/>
          <w:lang w:val="en-US" w:eastAsia="zh-CN"/>
        </w:rPr>
        <w:t>入库专家</w:t>
      </w:r>
      <w:r>
        <w:rPr>
          <w:rFonts w:hint="eastAsia" w:ascii="宋体" w:hAnsi="宋体" w:eastAsia="宋体" w:cs="宋体"/>
          <w:bCs w:val="0"/>
          <w:sz w:val="30"/>
          <w:szCs w:val="30"/>
        </w:rPr>
        <w:t>名单。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-SA"/>
        </w:rPr>
        <w:t>行业从事专业技术人员可按照入库专家条件，通过协会网站随时申报，评审通过，聘为专家库专家，</w:t>
      </w:r>
      <w:r>
        <w:rPr>
          <w:rFonts w:hint="eastAsia" w:ascii="宋体" w:hAnsi="宋体" w:eastAsia="宋体" w:cs="宋体"/>
          <w:sz w:val="30"/>
          <w:szCs w:val="30"/>
        </w:rPr>
        <w:t>对被聘专家颁发聘用证书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-SA"/>
        </w:rPr>
        <w:t>聘期五年。入库专家聘期届满，个人仍有意愿继续参加其工作，且具备入库专家相应条件的，再行提交申请，按照程序入选。</w:t>
      </w:r>
    </w:p>
    <w:p>
      <w:pPr>
        <w:pStyle w:val="3"/>
        <w:numPr>
          <w:ilvl w:val="0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第八条  </w:t>
      </w:r>
      <w:r>
        <w:rPr>
          <w:rFonts w:hint="eastAsia" w:ascii="宋体" w:hAnsi="宋体" w:eastAsia="宋体" w:cs="宋体"/>
          <w:sz w:val="30"/>
          <w:szCs w:val="30"/>
        </w:rPr>
        <w:t>专家库的使用</w:t>
      </w:r>
    </w:p>
    <w:p>
      <w:pPr>
        <w:pStyle w:val="3"/>
        <w:numPr>
          <w:ilvl w:val="0"/>
          <w:numId w:val="0"/>
        </w:numPr>
        <w:spacing w:line="600" w:lineRule="exact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根据技术工作的需要，本着一事一抽选的原则，按照相关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要求</w:t>
      </w:r>
      <w:r>
        <w:rPr>
          <w:rFonts w:hint="eastAsia" w:ascii="宋体" w:hAnsi="宋体" w:eastAsia="宋体" w:cs="宋体"/>
          <w:sz w:val="30"/>
          <w:szCs w:val="30"/>
        </w:rPr>
        <w:t>，从专家库抽选专家，并做好监督和保密工作。</w:t>
      </w:r>
    </w:p>
    <w:p>
      <w:pPr>
        <w:shd w:val="clear" w:color="auto" w:fill="FFFFFF"/>
        <w:spacing w:before="156" w:beforeLines="50" w:after="156" w:afterLines="50"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第五章  专家的权力和义务</w:t>
      </w:r>
    </w:p>
    <w:p>
      <w:pPr>
        <w:pStyle w:val="3"/>
        <w:numPr>
          <w:ilvl w:val="0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第九条  </w:t>
      </w:r>
      <w:r>
        <w:rPr>
          <w:rFonts w:hint="eastAsia" w:ascii="宋体" w:hAnsi="宋体" w:eastAsia="宋体" w:cs="宋体"/>
          <w:sz w:val="30"/>
          <w:szCs w:val="30"/>
        </w:rPr>
        <w:t>专家的权力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（一）独立、自主地发表意见和建议；</w:t>
      </w:r>
    </w:p>
    <w:p>
      <w:pPr>
        <w:tabs>
          <w:tab w:val="left" w:pos="2127"/>
        </w:tabs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（二）查阅相关资料；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（三）自愿退出技术专家库；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（四）对协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bCs/>
          <w:sz w:val="30"/>
          <w:szCs w:val="30"/>
        </w:rPr>
        <w:t>技术专家管理工作提出意见和建议。</w:t>
      </w:r>
    </w:p>
    <w:p>
      <w:pPr>
        <w:pStyle w:val="3"/>
        <w:numPr>
          <w:ilvl w:val="0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第十条  </w:t>
      </w:r>
      <w:r>
        <w:rPr>
          <w:rFonts w:hint="eastAsia" w:ascii="宋体" w:hAnsi="宋体" w:eastAsia="宋体" w:cs="宋体"/>
          <w:sz w:val="30"/>
          <w:szCs w:val="30"/>
        </w:rPr>
        <w:t>专家的义务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（一）遵守国家法律法规和技术专家库管理办法；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（二）接受协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bCs/>
          <w:sz w:val="30"/>
          <w:szCs w:val="30"/>
        </w:rPr>
        <w:t>安排，参加专家活动；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（三）严格知识产权保护，遵守保密纪律，涉及个人或所在单位有利益关系的项目，应主动提出回避；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（四）不受任何单位和个人的干扰，遵守职业道德，客观公正地履行职责；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（五）未经协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bCs/>
          <w:sz w:val="30"/>
          <w:szCs w:val="30"/>
        </w:rPr>
        <w:t>许可不得以技术专家库专家的名义组织任何活动；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（六）对本人所提出的意见和建议独立承担责任。</w:t>
      </w:r>
      <w:bookmarkStart w:id="3" w:name="_GoBack"/>
      <w:bookmarkEnd w:id="3"/>
    </w:p>
    <w:p>
      <w:pPr>
        <w:shd w:val="clear" w:color="auto" w:fill="FFFFFF"/>
        <w:spacing w:before="156" w:beforeLines="50" w:after="156" w:afterLines="50"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第六章  附  则</w:t>
      </w:r>
    </w:p>
    <w:p>
      <w:pPr>
        <w:pStyle w:val="3"/>
        <w:numPr>
          <w:ilvl w:val="0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第十一条  </w:t>
      </w:r>
      <w:r>
        <w:rPr>
          <w:rFonts w:hint="eastAsia" w:ascii="宋体" w:hAnsi="宋体" w:eastAsia="宋体" w:cs="宋体"/>
          <w:sz w:val="30"/>
          <w:szCs w:val="30"/>
        </w:rPr>
        <w:t>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管理</w:t>
      </w:r>
      <w:r>
        <w:rPr>
          <w:rFonts w:hint="eastAsia" w:ascii="宋体" w:hAnsi="宋体" w:eastAsia="宋体" w:cs="宋体"/>
          <w:sz w:val="30"/>
          <w:szCs w:val="30"/>
        </w:rPr>
        <w:t>办法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为试行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pStyle w:val="3"/>
        <w:numPr>
          <w:ilvl w:val="0"/>
          <w:numId w:val="0"/>
        </w:numPr>
        <w:spacing w:line="600" w:lineRule="exact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第十二条  </w:t>
      </w:r>
      <w:r>
        <w:rPr>
          <w:rFonts w:hint="eastAsia" w:ascii="宋体" w:hAnsi="宋体" w:eastAsia="宋体" w:cs="宋体"/>
          <w:sz w:val="30"/>
          <w:szCs w:val="30"/>
        </w:rPr>
        <w:t>本办法自发布之日起施行，由协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秘书处负责解释。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4191395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4191395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22C15"/>
    <w:multiLevelType w:val="multilevel"/>
    <w:tmpl w:val="71522C15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vertAlign w:val="baseline"/>
      </w:rPr>
    </w:lvl>
    <w:lvl w:ilvl="1" w:tentative="0">
      <w:start w:val="1"/>
      <w:numFmt w:val="chineseCountingThousand"/>
      <w:lvlRestart w:val="0"/>
      <w:pStyle w:val="3"/>
      <w:suff w:val="space"/>
      <w:lvlText w:val="第%2条"/>
      <w:lvlJc w:val="left"/>
      <w:pPr>
        <w:ind w:left="1002" w:hanging="576"/>
      </w:pPr>
      <w:rPr>
        <w:rFonts w:hint="eastAsia" w:eastAsia="仿宋" w:cs="Times New Roman"/>
        <w:b w:val="0"/>
        <w:i w:val="0"/>
        <w:color w:val="auto"/>
        <w:lang w:val="en-US"/>
      </w:rPr>
    </w:lvl>
    <w:lvl w:ilvl="2" w:tentative="0">
      <w:start w:val="1"/>
      <w:numFmt w:val="chineseCountingThousand"/>
      <w:pStyle w:val="4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1D"/>
    <w:rsid w:val="00012B50"/>
    <w:rsid w:val="001525CC"/>
    <w:rsid w:val="001567BB"/>
    <w:rsid w:val="00237A38"/>
    <w:rsid w:val="00357D35"/>
    <w:rsid w:val="003A13E4"/>
    <w:rsid w:val="004862D4"/>
    <w:rsid w:val="004A1725"/>
    <w:rsid w:val="004A23E5"/>
    <w:rsid w:val="00520E66"/>
    <w:rsid w:val="00587B24"/>
    <w:rsid w:val="005C20FB"/>
    <w:rsid w:val="005C7BFB"/>
    <w:rsid w:val="006119BB"/>
    <w:rsid w:val="00647EC1"/>
    <w:rsid w:val="0067054C"/>
    <w:rsid w:val="006D0A26"/>
    <w:rsid w:val="007479A0"/>
    <w:rsid w:val="008121A5"/>
    <w:rsid w:val="00830A68"/>
    <w:rsid w:val="008701AA"/>
    <w:rsid w:val="008E2DBD"/>
    <w:rsid w:val="008F74E8"/>
    <w:rsid w:val="00914BD6"/>
    <w:rsid w:val="00920460"/>
    <w:rsid w:val="00950B27"/>
    <w:rsid w:val="009B5F1D"/>
    <w:rsid w:val="009C2075"/>
    <w:rsid w:val="00A078BA"/>
    <w:rsid w:val="00AC6227"/>
    <w:rsid w:val="00AD7767"/>
    <w:rsid w:val="00B147BD"/>
    <w:rsid w:val="00B52750"/>
    <w:rsid w:val="00B54BF8"/>
    <w:rsid w:val="00B83A05"/>
    <w:rsid w:val="00BA7766"/>
    <w:rsid w:val="00C44898"/>
    <w:rsid w:val="00C6679C"/>
    <w:rsid w:val="00CC3D70"/>
    <w:rsid w:val="00D62BA5"/>
    <w:rsid w:val="00D70481"/>
    <w:rsid w:val="00DB12DB"/>
    <w:rsid w:val="00DB2002"/>
    <w:rsid w:val="00DB5286"/>
    <w:rsid w:val="00DD781D"/>
    <w:rsid w:val="00E45FE4"/>
    <w:rsid w:val="00EE2F7A"/>
    <w:rsid w:val="00F00A34"/>
    <w:rsid w:val="00F439AA"/>
    <w:rsid w:val="00F71558"/>
    <w:rsid w:val="00F77DC4"/>
    <w:rsid w:val="00F83240"/>
    <w:rsid w:val="00F854AC"/>
    <w:rsid w:val="00FC3D8E"/>
    <w:rsid w:val="00FF0D8A"/>
    <w:rsid w:val="07045402"/>
    <w:rsid w:val="0C345285"/>
    <w:rsid w:val="0D5966B0"/>
    <w:rsid w:val="169B2AF8"/>
    <w:rsid w:val="177B4A5A"/>
    <w:rsid w:val="177C02E2"/>
    <w:rsid w:val="18903818"/>
    <w:rsid w:val="1D42178E"/>
    <w:rsid w:val="1E855555"/>
    <w:rsid w:val="20D11932"/>
    <w:rsid w:val="24471819"/>
    <w:rsid w:val="29542D81"/>
    <w:rsid w:val="2DA00CBE"/>
    <w:rsid w:val="2E7009E9"/>
    <w:rsid w:val="39ED4D7F"/>
    <w:rsid w:val="420F7AA7"/>
    <w:rsid w:val="48BB58FE"/>
    <w:rsid w:val="4D0B7182"/>
    <w:rsid w:val="5351331F"/>
    <w:rsid w:val="59146BAB"/>
    <w:rsid w:val="5BF37DB0"/>
    <w:rsid w:val="6F8C6A4E"/>
    <w:rsid w:val="71D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numPr>
        <w:ilvl w:val="0"/>
        <w:numId w:val="1"/>
      </w:numPr>
      <w:spacing w:before="340" w:after="330" w:line="360" w:lineRule="auto"/>
      <w:ind w:left="431" w:hanging="431"/>
      <w:jc w:val="center"/>
      <w:outlineLvl w:val="0"/>
    </w:pPr>
    <w:rPr>
      <w:rFonts w:ascii="Calibri" w:hAnsi="Calibri" w:eastAsia="黑体" w:cs="Times New Roman"/>
      <w:bCs/>
      <w:kern w:val="44"/>
      <w:sz w:val="28"/>
      <w:szCs w:val="44"/>
    </w:rPr>
  </w:style>
  <w:style w:type="paragraph" w:styleId="3">
    <w:name w:val="heading 2"/>
    <w:basedOn w:val="1"/>
    <w:next w:val="1"/>
    <w:link w:val="35"/>
    <w:qFormat/>
    <w:uiPriority w:val="99"/>
    <w:pPr>
      <w:numPr>
        <w:ilvl w:val="1"/>
        <w:numId w:val="1"/>
      </w:numPr>
      <w:jc w:val="left"/>
      <w:outlineLvl w:val="1"/>
    </w:pPr>
    <w:rPr>
      <w:rFonts w:ascii="Calibri Light" w:hAnsi="Calibri Light" w:eastAsia="仿宋" w:cs="Times New Roman"/>
      <w:bCs/>
      <w:sz w:val="28"/>
      <w:szCs w:val="32"/>
    </w:rPr>
  </w:style>
  <w:style w:type="paragraph" w:styleId="4">
    <w:name w:val="heading 3"/>
    <w:basedOn w:val="1"/>
    <w:next w:val="1"/>
    <w:link w:val="28"/>
    <w:qFormat/>
    <w:uiPriority w:val="99"/>
    <w:pPr>
      <w:numPr>
        <w:ilvl w:val="2"/>
        <w:numId w:val="1"/>
      </w:numPr>
      <w:spacing w:line="415" w:lineRule="auto"/>
      <w:ind w:left="0" w:firstLine="200" w:firstLineChars="200"/>
      <w:jc w:val="left"/>
      <w:outlineLvl w:val="2"/>
    </w:pPr>
    <w:rPr>
      <w:rFonts w:ascii="Calibri" w:hAnsi="Calibri" w:eastAsia="仿宋" w:cs="Times New Roman"/>
      <w:bCs/>
      <w:sz w:val="28"/>
      <w:szCs w:val="32"/>
    </w:rPr>
  </w:style>
  <w:style w:type="paragraph" w:styleId="5">
    <w:name w:val="heading 4"/>
    <w:basedOn w:val="1"/>
    <w:next w:val="1"/>
    <w:link w:val="29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0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hAnsi="Calibri" w:eastAsia="仿宋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31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 Light" w:hAnsi="Calibri Light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2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Calibri" w:hAnsi="Calibri" w:eastAsia="仿宋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3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 Light" w:hAnsi="Calibri Light" w:eastAsia="宋体" w:cs="Times New Roman"/>
      <w:sz w:val="24"/>
      <w:szCs w:val="24"/>
    </w:rPr>
  </w:style>
  <w:style w:type="paragraph" w:styleId="10">
    <w:name w:val="heading 9"/>
    <w:basedOn w:val="1"/>
    <w:next w:val="1"/>
    <w:link w:val="34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libri Light" w:hAnsi="Calibri Light" w:eastAsia="宋体" w:cs="Times New Roman"/>
      <w:sz w:val="28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5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22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5">
    <w:name w:val="批注框文本 字符"/>
    <w:basedOn w:val="17"/>
    <w:link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标题 1 字符"/>
    <w:basedOn w:val="17"/>
    <w:link w:val="2"/>
    <w:qFormat/>
    <w:uiPriority w:val="99"/>
    <w:rPr>
      <w:rFonts w:ascii="Calibri" w:hAnsi="Calibri" w:eastAsia="黑体" w:cs="Times New Roman"/>
      <w:bCs/>
      <w:kern w:val="44"/>
      <w:sz w:val="28"/>
      <w:szCs w:val="44"/>
    </w:rPr>
  </w:style>
  <w:style w:type="character" w:customStyle="1" w:styleId="27">
    <w:name w:val="标题 2 字符"/>
    <w:basedOn w:val="1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字符"/>
    <w:basedOn w:val="17"/>
    <w:link w:val="4"/>
    <w:qFormat/>
    <w:uiPriority w:val="99"/>
    <w:rPr>
      <w:rFonts w:ascii="Calibri" w:hAnsi="Calibri" w:eastAsia="仿宋" w:cs="Times New Roman"/>
      <w:bCs/>
      <w:sz w:val="28"/>
      <w:szCs w:val="32"/>
    </w:rPr>
  </w:style>
  <w:style w:type="character" w:customStyle="1" w:styleId="29">
    <w:name w:val="标题 4 字符"/>
    <w:basedOn w:val="17"/>
    <w:link w:val="5"/>
    <w:qFormat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30">
    <w:name w:val="标题 5 字符"/>
    <w:basedOn w:val="17"/>
    <w:link w:val="6"/>
    <w:qFormat/>
    <w:uiPriority w:val="99"/>
    <w:rPr>
      <w:rFonts w:ascii="Calibri" w:hAnsi="Calibri" w:eastAsia="仿宋" w:cs="Times New Roman"/>
      <w:b/>
      <w:bCs/>
      <w:sz w:val="28"/>
      <w:szCs w:val="28"/>
    </w:rPr>
  </w:style>
  <w:style w:type="character" w:customStyle="1" w:styleId="31">
    <w:name w:val="标题 6 字符"/>
    <w:basedOn w:val="17"/>
    <w:link w:val="7"/>
    <w:qFormat/>
    <w:uiPriority w:val="99"/>
    <w:rPr>
      <w:rFonts w:ascii="Calibri Light" w:hAnsi="Calibri Light" w:eastAsia="宋体" w:cs="Times New Roman"/>
      <w:b/>
      <w:bCs/>
      <w:sz w:val="24"/>
      <w:szCs w:val="24"/>
    </w:rPr>
  </w:style>
  <w:style w:type="character" w:customStyle="1" w:styleId="32">
    <w:name w:val="标题 7 字符"/>
    <w:basedOn w:val="17"/>
    <w:link w:val="8"/>
    <w:qFormat/>
    <w:uiPriority w:val="99"/>
    <w:rPr>
      <w:rFonts w:ascii="Calibri" w:hAnsi="Calibri" w:eastAsia="仿宋" w:cs="Times New Roman"/>
      <w:b/>
      <w:bCs/>
      <w:sz w:val="24"/>
      <w:szCs w:val="24"/>
    </w:rPr>
  </w:style>
  <w:style w:type="character" w:customStyle="1" w:styleId="33">
    <w:name w:val="标题 8 字符"/>
    <w:basedOn w:val="17"/>
    <w:link w:val="9"/>
    <w:qFormat/>
    <w:uiPriority w:val="99"/>
    <w:rPr>
      <w:rFonts w:ascii="Calibri Light" w:hAnsi="Calibri Light" w:eastAsia="宋体" w:cs="Times New Roman"/>
      <w:sz w:val="24"/>
      <w:szCs w:val="24"/>
    </w:rPr>
  </w:style>
  <w:style w:type="character" w:customStyle="1" w:styleId="34">
    <w:name w:val="标题 9 字符"/>
    <w:basedOn w:val="17"/>
    <w:link w:val="10"/>
    <w:qFormat/>
    <w:uiPriority w:val="99"/>
    <w:rPr>
      <w:rFonts w:ascii="Calibri Light" w:hAnsi="Calibri Light" w:eastAsia="宋体" w:cs="Times New Roman"/>
      <w:sz w:val="28"/>
      <w:szCs w:val="21"/>
    </w:rPr>
  </w:style>
  <w:style w:type="character" w:customStyle="1" w:styleId="35">
    <w:name w:val="标题 2 字符1"/>
    <w:basedOn w:val="17"/>
    <w:link w:val="3"/>
    <w:qFormat/>
    <w:uiPriority w:val="99"/>
    <w:rPr>
      <w:rFonts w:ascii="Calibri Light" w:hAnsi="Calibri Light" w:eastAsia="仿宋" w:cs="Times New Roman"/>
      <w:bCs/>
      <w:sz w:val="28"/>
      <w:szCs w:val="32"/>
    </w:rPr>
  </w:style>
  <w:style w:type="paragraph" w:customStyle="1" w:styleId="3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ocuments\&#33258;&#23450;&#20041;%20Office%20&#27169;&#26495;\&#20013;&#35774;&#21327;&#23383;%5b2020%5d81&#21495;&#20851;&#20110;&#21484;&#24320;&#20013;&#22269;&#21208;&#23519;&#35774;&#35745;&#21327;&#20250;&#20845;&#23626;&#19971;&#27425;&#24120;&#21153;&#29702;&#20107;&#20250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CA43E-21F2-4250-9068-2D12D155E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中设协字[2020]81号关于召开中国勘察设计协会六届七次常务理事会的通知</Template>
  <Pages>3</Pages>
  <Words>200</Words>
  <Characters>1140</Characters>
  <Lines>9</Lines>
  <Paragraphs>2</Paragraphs>
  <TotalTime>251</TotalTime>
  <ScaleCrop>false</ScaleCrop>
  <LinksUpToDate>false</LinksUpToDate>
  <CharactersWithSpaces>1338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2020-07-01T08:01:00Z</dcterms:created>
  <dc:creator>a</dc:creator>
  <cp:lastModifiedBy>Administrator</cp:lastModifiedBy>
  <cp:lastPrinted>2020-07-02T01:41:00Z</cp:lastPrinted>
  <dcterms:modified xsi:type="dcterms:W3CDTF">2020-08-24T06:43:10Z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