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CA83">
      <w:pPr>
        <w:jc w:val="center"/>
        <w:rPr>
          <w:rFonts w:hint="eastAsia" w:ascii="宋体" w:hAnsi="宋体" w:eastAsia="宋体" w:cs="宋体"/>
          <w:b/>
          <w:bCs/>
          <w:kern w:val="2"/>
          <w:sz w:val="44"/>
          <w:szCs w:val="44"/>
          <w:lang w:val="en-US" w:eastAsia="zh-CN" w:bidi="ar-SA"/>
        </w:rPr>
      </w:pPr>
      <w:bookmarkStart w:id="9" w:name="_GoBack"/>
      <w:bookmarkEnd w:id="9"/>
      <w:bookmarkStart w:id="0" w:name="OLE_LINK1"/>
      <w:r>
        <w:rPr>
          <w:rFonts w:hint="eastAsia" w:ascii="宋体" w:hAnsi="宋体" w:eastAsia="宋体" w:cs="宋体"/>
          <w:b/>
          <w:bCs/>
          <w:kern w:val="2"/>
          <w:sz w:val="44"/>
          <w:szCs w:val="44"/>
          <w:lang w:val="en-US" w:eastAsia="zh-CN" w:bidi="ar-SA"/>
        </w:rPr>
        <w:t>“两新”“两重”项目投融资谋划及三类资金申请和城市更新、低空经济专题培训</w:t>
      </w:r>
    </w:p>
    <w:p w14:paraId="2C58D57B">
      <w:pPr>
        <w:pStyle w:val="4"/>
        <w:shd w:val="clear" w:color="auto" w:fill="FFFFFF"/>
        <w:spacing w:before="0" w:beforeAutospacing="0" w:after="0" w:afterAutospacing="0" w:line="500" w:lineRule="exact"/>
        <w:ind w:right="120"/>
        <w:jc w:val="center"/>
        <w:rPr>
          <w:rStyle w:val="7"/>
          <w:rFonts w:hint="eastAsia" w:ascii="宋体" w:hAnsi="宋体" w:eastAsia="宋体" w:cs="宋体"/>
          <w:spacing w:val="23"/>
          <w:sz w:val="44"/>
          <w:szCs w:val="44"/>
          <w:lang w:val="en-US" w:eastAsia="zh-CN"/>
        </w:rPr>
      </w:pPr>
      <w:r>
        <w:rPr>
          <w:rStyle w:val="7"/>
          <w:rFonts w:hint="eastAsia" w:ascii="宋体" w:hAnsi="宋体" w:eastAsia="宋体" w:cs="宋体"/>
          <w:spacing w:val="23"/>
          <w:sz w:val="44"/>
          <w:szCs w:val="44"/>
          <w:lang w:val="en-US" w:eastAsia="zh-CN"/>
        </w:rPr>
        <w:t>培</w:t>
      </w:r>
      <w:r>
        <w:rPr>
          <w:rStyle w:val="7"/>
          <w:rFonts w:hint="eastAsia" w:cs="宋体"/>
          <w:spacing w:val="23"/>
          <w:sz w:val="44"/>
          <w:szCs w:val="44"/>
          <w:lang w:val="en-US" w:eastAsia="zh-CN"/>
        </w:rPr>
        <w:t xml:space="preserve"> </w:t>
      </w:r>
      <w:r>
        <w:rPr>
          <w:rStyle w:val="7"/>
          <w:rFonts w:hint="eastAsia" w:ascii="宋体" w:hAnsi="宋体" w:eastAsia="宋体" w:cs="宋体"/>
          <w:spacing w:val="23"/>
          <w:sz w:val="44"/>
          <w:szCs w:val="44"/>
          <w:lang w:val="en-US" w:eastAsia="zh-CN"/>
        </w:rPr>
        <w:t>训</w:t>
      </w:r>
      <w:r>
        <w:rPr>
          <w:rStyle w:val="7"/>
          <w:rFonts w:hint="eastAsia" w:cs="宋体"/>
          <w:spacing w:val="23"/>
          <w:sz w:val="44"/>
          <w:szCs w:val="44"/>
          <w:lang w:val="en-US" w:eastAsia="zh-CN"/>
        </w:rPr>
        <w:t xml:space="preserve"> </w:t>
      </w:r>
      <w:r>
        <w:rPr>
          <w:rStyle w:val="7"/>
          <w:rFonts w:hint="eastAsia" w:ascii="宋体" w:hAnsi="宋体" w:eastAsia="宋体" w:cs="宋体"/>
          <w:spacing w:val="23"/>
          <w:sz w:val="44"/>
          <w:szCs w:val="44"/>
          <w:lang w:val="en-US" w:eastAsia="zh-CN"/>
        </w:rPr>
        <w:t>大</w:t>
      </w:r>
      <w:r>
        <w:rPr>
          <w:rStyle w:val="7"/>
          <w:rFonts w:hint="eastAsia" w:cs="宋体"/>
          <w:spacing w:val="23"/>
          <w:sz w:val="44"/>
          <w:szCs w:val="44"/>
          <w:lang w:val="en-US" w:eastAsia="zh-CN"/>
        </w:rPr>
        <w:t xml:space="preserve"> </w:t>
      </w:r>
      <w:r>
        <w:rPr>
          <w:rStyle w:val="7"/>
          <w:rFonts w:hint="eastAsia" w:ascii="宋体" w:hAnsi="宋体" w:eastAsia="宋体" w:cs="宋体"/>
          <w:spacing w:val="23"/>
          <w:sz w:val="44"/>
          <w:szCs w:val="44"/>
          <w:lang w:val="en-US" w:eastAsia="zh-CN"/>
        </w:rPr>
        <w:t>纲</w:t>
      </w:r>
    </w:p>
    <w:p w14:paraId="2A45AFE1">
      <w:pPr>
        <w:pStyle w:val="4"/>
        <w:shd w:val="clear" w:color="auto" w:fill="FFFFFF"/>
        <w:spacing w:before="0" w:beforeAutospacing="0" w:after="0" w:afterAutospacing="0" w:line="500" w:lineRule="exact"/>
        <w:ind w:right="120"/>
        <w:rPr>
          <w:rStyle w:val="7"/>
          <w:rFonts w:hint="eastAsia" w:ascii="黑体" w:hAnsi="黑体" w:eastAsia="黑体"/>
          <w:sz w:val="28"/>
          <w:szCs w:val="28"/>
        </w:rPr>
      </w:pPr>
    </w:p>
    <w:bookmarkEnd w:id="0"/>
    <w:p w14:paraId="7274DBB6">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模块一：新形势下参与地方经济高质量发展投融资新逻辑与项目谋划要点</w:t>
      </w:r>
    </w:p>
    <w:p w14:paraId="081DB94D">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1.区分隐性债务和市场化融资</w:t>
      </w:r>
    </w:p>
    <w:p w14:paraId="775A6CE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2.区分政府投资项目和企业投资项目</w:t>
      </w:r>
    </w:p>
    <w:p w14:paraId="6310C104">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3.挖掘和规划有经营收入的项目（自求平衡与资源补偿的应用）</w:t>
      </w:r>
    </w:p>
    <w:p w14:paraId="14C9B443">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4.区分政府直接投资和资本金注入项目</w:t>
      </w:r>
    </w:p>
    <w:p w14:paraId="191520D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5.授权平台公司开发+国企模式市场化运作项目</w:t>
      </w:r>
    </w:p>
    <w:p w14:paraId="5A99C24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6.合规合理安排政府资金的使用方式（投资补助与运营补贴）</w:t>
      </w:r>
    </w:p>
    <w:p w14:paraId="57BF0664">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7.不能以土地出让金融资，以土地的最终产出规划项目并融资（城市更新、TOD、EOD、WOD、IOD等）</w:t>
      </w:r>
    </w:p>
    <w:p w14:paraId="7FA5118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8.大基建时代融资和收益自平衡</w:t>
      </w:r>
    </w:p>
    <w:p w14:paraId="1D1C1B11">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模块二、与地方平台公司投融建项目的创新合作模式与风险防范</w:t>
      </w:r>
    </w:p>
    <w:p w14:paraId="5A4709DB">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（一）平台公司授权经营模式转型及与合作要点分析</w:t>
      </w:r>
    </w:p>
    <w:p w14:paraId="7251F69D">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1.政府授权模式合规性分析</w:t>
      </w:r>
    </w:p>
    <w:p w14:paraId="4D6EDFF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2.政府授权模式市场化融资运用要点及案例</w:t>
      </w:r>
    </w:p>
    <w:p w14:paraId="13697E4C">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3.国企参与“政府授权+投资合作+EPC”模式的合规要点及分险防范</w:t>
      </w:r>
    </w:p>
    <w:p w14:paraId="278A6CE0">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4.“政府授权+投资合作+EPC”模式资本金及债务融资案例分享</w:t>
      </w:r>
    </w:p>
    <w:p w14:paraId="047F866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5.新政下（进一步做好政府和社会资本合作新机制项目规范实施工作的通知[发改办投资〔2024〕1013号]）国企参与特许经营模式实务及融资要点解析</w:t>
      </w:r>
    </w:p>
    <w:p w14:paraId="451245F2">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（二）企业市场化投资基建项目的模式与实务案例</w:t>
      </w:r>
    </w:p>
    <w:p w14:paraId="69123EDC">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1.“投资人+EPC”模式下合规性分析及案例解析</w:t>
      </w:r>
    </w:p>
    <w:p w14:paraId="7C0277FA">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2.“投资人+EPC”模式下收益来源分析</w:t>
      </w:r>
    </w:p>
    <w:p w14:paraId="05C1ADE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3.“投资人+EPC”模式下市场化融资运用要点</w:t>
      </w:r>
    </w:p>
    <w:p w14:paraId="1AB1019A">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4.“投资人+EPC模式”国企的退出渠道及政府补贴怎么补才合规？</w:t>
      </w:r>
    </w:p>
    <w:p w14:paraId="13972AB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5.国企与地方平台合作采用“投资合作+EPC模式”操作项目的两类四种合规模式分析（投建分离、股权型、延付型、债权型）</w:t>
      </w:r>
    </w:p>
    <w:p w14:paraId="5031F42E">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模块三、专项债、超长期特别国债及中央预算内投资项目策划与申报</w:t>
      </w:r>
    </w:p>
    <w:p w14:paraId="27716852">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（一）地方政府专项债</w:t>
      </w:r>
    </w:p>
    <w:p w14:paraId="44BBE2F0">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1.专项债最新政策（国办发〔2024〕52号）解读：募投领域和资本金适用范围的正负面清单、三个优先和三个尽量等要求的灵活应用</w:t>
      </w:r>
    </w:p>
    <w:p w14:paraId="76FDE029">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2.新增专项债申报策略和案例分析：准备工作的关键点、自求平衡项目包装策略、一案两书的编制要点、发改和财政系统审核的关注点等</w:t>
      </w:r>
    </w:p>
    <w:p w14:paraId="3C1BBB1F">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3.新基建、低空基建、数字基建等国家重点支持的创新专项债实务案例解析</w:t>
      </w:r>
    </w:p>
    <w:p w14:paraId="048D6FF9">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4.国企参与专项债券项目的模式要点解析</w:t>
      </w:r>
    </w:p>
    <w:p w14:paraId="0B82928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5.2025土储专项债前置条件与申报要点实操流程（自然资源部培训要点解析）</w:t>
      </w:r>
    </w:p>
    <w:p w14:paraId="1D1B5310">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（二）2025新增特别国债“两重”项目谋划、申报储备及实操</w:t>
      </w:r>
    </w:p>
    <w:p w14:paraId="3C4E3C05">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1.新增特别国债“两重”项目存在的问题复盘与2025年度新政解读</w:t>
      </w:r>
    </w:p>
    <w:p w14:paraId="20614FE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2.9大领域17+4细分方向支持范围、申报要求、填报问题解析</w:t>
      </w:r>
    </w:p>
    <w:p w14:paraId="50441535">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3.项目准备工作要素保障要求标准</w:t>
      </w:r>
    </w:p>
    <w:p w14:paraId="5EEE717C">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4.2025年度“两重”项目谋划申报各职能部门发力方向</w:t>
      </w:r>
    </w:p>
    <w:p w14:paraId="5412DE8A">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bookmarkStart w:id="1" w:name="_Hlk198371168"/>
      <w:bookmarkStart w:id="2" w:name="OLE_LINK7"/>
      <w:r>
        <w:rPr>
          <w:rStyle w:val="7"/>
          <w:rFonts w:hint="eastAsia" w:ascii="楷体" w:hAnsi="楷体" w:eastAsia="楷体"/>
          <w:b w:val="0"/>
          <w:bCs w:val="0"/>
          <w:color w:val="000000" w:themeColor="text1"/>
          <w:sz w:val="28"/>
          <w:szCs w:val="28"/>
          <w14:textFill>
            <w14:solidFill>
              <w14:schemeClr w14:val="tx1"/>
            </w14:solidFill>
          </w14:textFill>
        </w:rPr>
        <w:t>5.国家发改委7月下达全年“两重”项目建设全部项目清单，2026年项目申报最新要点</w:t>
      </w:r>
    </w:p>
    <w:bookmarkEnd w:id="1"/>
    <w:p w14:paraId="7C849D13">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6.</w:t>
      </w:r>
      <w:bookmarkStart w:id="3" w:name="_Hlk200475749"/>
      <w:r>
        <w:rPr>
          <w:rStyle w:val="7"/>
          <w:rFonts w:hint="eastAsia" w:ascii="楷体" w:hAnsi="楷体" w:eastAsia="楷体"/>
          <w:b w:val="0"/>
          <w:bCs w:val="0"/>
          <w:color w:val="000000" w:themeColor="text1"/>
          <w:sz w:val="28"/>
          <w:szCs w:val="28"/>
          <w14:textFill>
            <w14:solidFill>
              <w14:schemeClr w14:val="tx1"/>
            </w14:solidFill>
          </w14:textFill>
        </w:rPr>
        <w:t>国企参与两重项目的投融资模式要点解析及案例分享</w:t>
      </w:r>
    </w:p>
    <w:bookmarkEnd w:id="2"/>
    <w:bookmarkEnd w:id="3"/>
    <w:p w14:paraId="068AEBD9">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color w:val="000000" w:themeColor="text1"/>
          <w:sz w:val="28"/>
          <w:szCs w:val="28"/>
          <w14:textFill>
            <w14:solidFill>
              <w14:schemeClr w14:val="tx1"/>
            </w14:solidFill>
          </w14:textFill>
        </w:rPr>
        <w:t>（三）中央预</w:t>
      </w:r>
      <w:r>
        <w:rPr>
          <w:rStyle w:val="7"/>
          <w:rFonts w:hint="eastAsia" w:ascii="楷体" w:hAnsi="楷体" w:eastAsia="楷体"/>
          <w:sz w:val="28"/>
          <w:szCs w:val="28"/>
        </w:rPr>
        <w:t>算内投资项目谋划、申报、储备及申报实务</w:t>
      </w:r>
    </w:p>
    <w:p w14:paraId="1A86A6BF">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1.中央预算内资金项目支持范围办法、申报流程、审核要点与案例分享</w:t>
      </w:r>
    </w:p>
    <w:p w14:paraId="3AB7A8BB">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2.6大领域28个方向要点分析及重点案例分析</w:t>
      </w:r>
    </w:p>
    <w:p w14:paraId="25693415">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3.2025新增支持方向解析与2025年储备范围方向建议</w:t>
      </w:r>
    </w:p>
    <w:p w14:paraId="29F1EFB8">
      <w:pPr>
        <w:pStyle w:val="4"/>
        <w:shd w:val="clear" w:color="auto" w:fill="FFFFFF"/>
        <w:spacing w:before="0" w:beforeAutospacing="0" w:after="0" w:afterAutospacing="0" w:line="520" w:lineRule="exact"/>
        <w:rPr>
          <w:rFonts w:hint="eastAsia" w:ascii="楷体" w:hAnsi="楷体" w:eastAsia="楷体"/>
          <w:color w:val="000000" w:themeColor="text1"/>
          <w:sz w:val="28"/>
          <w:szCs w:val="28"/>
          <w14:textFill>
            <w14:solidFill>
              <w14:schemeClr w14:val="tx1"/>
            </w14:solidFill>
          </w14:textFill>
        </w:rPr>
      </w:pPr>
      <w:bookmarkStart w:id="4" w:name="_Hlk198372865"/>
      <w:r>
        <w:rPr>
          <w:rStyle w:val="7"/>
          <w:rFonts w:hint="eastAsia" w:ascii="楷体" w:hAnsi="楷体" w:eastAsia="楷体"/>
          <w:b w:val="0"/>
          <w:bCs w:val="0"/>
          <w:color w:val="000000" w:themeColor="text1"/>
          <w:sz w:val="28"/>
          <w:szCs w:val="28"/>
          <w14:textFill>
            <w14:solidFill>
              <w14:schemeClr w14:val="tx1"/>
            </w14:solidFill>
          </w14:textFill>
        </w:rPr>
        <w:t>4.国家发改委6月底前下达全年</w:t>
      </w:r>
      <w:r>
        <w:rPr>
          <w:rFonts w:hint="eastAsia" w:ascii="楷体" w:hAnsi="楷体" w:eastAsia="楷体"/>
          <w:color w:val="000000" w:themeColor="text1"/>
          <w:sz w:val="28"/>
          <w:szCs w:val="28"/>
          <w14:textFill>
            <w14:solidFill>
              <w14:schemeClr w14:val="tx1"/>
            </w14:solidFill>
          </w14:textFill>
        </w:rPr>
        <w:t>中央预算内投资全部项目清单</w:t>
      </w:r>
    </w:p>
    <w:p w14:paraId="24C8FF53">
      <w:pPr>
        <w:pStyle w:val="4"/>
        <w:shd w:val="clear" w:color="auto" w:fill="FFFFFF"/>
        <w:spacing w:before="0" w:beforeAutospacing="0" w:after="0" w:afterAutospacing="0" w:line="520" w:lineRule="exact"/>
        <w:rPr>
          <w:rFonts w:hint="eastAsia" w:ascii="楷体" w:hAnsi="楷体" w:eastAsia="楷体"/>
          <w:color w:val="000000" w:themeColor="text1"/>
          <w:sz w:val="28"/>
          <w:szCs w:val="28"/>
          <w14:textFill>
            <w14:solidFill>
              <w14:schemeClr w14:val="tx1"/>
            </w14:solidFill>
          </w14:textFill>
        </w:rPr>
      </w:pPr>
      <w:bookmarkStart w:id="5" w:name="_Hlk200475883"/>
      <w:r>
        <w:rPr>
          <w:rFonts w:hint="eastAsia" w:ascii="楷体" w:hAnsi="楷体" w:eastAsia="楷体"/>
          <w:color w:val="000000" w:themeColor="text1"/>
          <w:sz w:val="28"/>
          <w:szCs w:val="28"/>
          <w14:textFill>
            <w14:solidFill>
              <w14:schemeClr w14:val="tx1"/>
            </w14:solidFill>
          </w14:textFill>
        </w:rPr>
        <w:t>5.国企参与中央预算内项目的投融资模式要点解析及案例</w:t>
      </w:r>
      <w:bookmarkEnd w:id="5"/>
    </w:p>
    <w:p w14:paraId="18A8E1E9">
      <w:pPr>
        <w:pStyle w:val="4"/>
        <w:shd w:val="clear" w:color="auto" w:fill="FFFFFF"/>
        <w:spacing w:before="0" w:beforeAutospacing="0" w:after="0" w:afterAutospacing="0" w:line="520" w:lineRule="exac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6.中央预算内投资、专项债、政策性金融工具、超长期特别国债资金拼盘完整策略及案例解析</w:t>
      </w:r>
    </w:p>
    <w:bookmarkEnd w:id="4"/>
    <w:p w14:paraId="2E49175B">
      <w:pPr>
        <w:pStyle w:val="4"/>
        <w:shd w:val="clear" w:color="auto" w:fill="FFFFFF"/>
        <w:spacing w:before="0" w:beforeAutospacing="0" w:after="0" w:afterAutospacing="0" w:line="520" w:lineRule="exact"/>
        <w:rPr>
          <w:rStyle w:val="7"/>
          <w:rFonts w:hint="eastAsia" w:ascii="楷体" w:hAnsi="楷体" w:eastAsia="楷体"/>
          <w:sz w:val="28"/>
          <w:szCs w:val="28"/>
        </w:rPr>
      </w:pPr>
      <w:r>
        <w:rPr>
          <w:rStyle w:val="7"/>
          <w:rFonts w:hint="eastAsia" w:ascii="楷体" w:hAnsi="楷体" w:eastAsia="楷体"/>
          <w:sz w:val="28"/>
          <w:szCs w:val="28"/>
        </w:rPr>
        <w:t>模块四、新形势下参与城市更新项目资金申请、投融资实务与案例分享</w:t>
      </w:r>
    </w:p>
    <w:p w14:paraId="4511D919">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bookmarkStart w:id="6" w:name="OLE_LINK9"/>
      <w:r>
        <w:rPr>
          <w:rStyle w:val="7"/>
          <w:rFonts w:hint="eastAsia" w:ascii="楷体" w:hAnsi="楷体" w:eastAsia="楷体"/>
          <w:b w:val="0"/>
          <w:bCs w:val="0"/>
          <w:color w:val="000000" w:themeColor="text1"/>
          <w:sz w:val="28"/>
          <w:szCs w:val="28"/>
          <w14:textFill>
            <w14:solidFill>
              <w14:schemeClr w14:val="tx1"/>
            </w14:solidFill>
          </w14:textFill>
        </w:rPr>
        <w:t>1.</w:t>
      </w:r>
      <w:r>
        <w:rPr>
          <w:rStyle w:val="7"/>
          <w:rFonts w:hint="eastAsia" w:ascii="楷体" w:hAnsi="楷体" w:eastAsia="楷体"/>
          <w:color w:val="000000" w:themeColor="text1"/>
          <w:sz w:val="28"/>
          <w:szCs w:val="28"/>
          <w14:textFill>
            <w14:solidFill>
              <w14:schemeClr w14:val="tx1"/>
            </w14:solidFill>
          </w14:textFill>
        </w:rPr>
        <w:t xml:space="preserve"> </w:t>
      </w:r>
      <w:r>
        <w:rPr>
          <w:rStyle w:val="7"/>
          <w:rFonts w:hint="eastAsia" w:ascii="楷体" w:hAnsi="楷体" w:eastAsia="楷体"/>
          <w:b w:val="0"/>
          <w:bCs w:val="0"/>
          <w:color w:val="000000" w:themeColor="text1"/>
          <w:sz w:val="28"/>
          <w:szCs w:val="28"/>
          <w14:textFill>
            <w14:solidFill>
              <w14:schemeClr w14:val="tx1"/>
            </w14:solidFill>
          </w14:textFill>
        </w:rPr>
        <w:t>中办、国办《关于持续推进城市更新行动的意见》（2025年5月2日）等相关最新政策解析</w:t>
      </w:r>
    </w:p>
    <w:bookmarkEnd w:id="6"/>
    <w:p w14:paraId="62EBA4C6">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2.国企业参与城市更新项目的操作模式分析</w:t>
      </w:r>
    </w:p>
    <w:p w14:paraId="051D1889">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3.城市更新项目的收益构成及主要来源</w:t>
      </w:r>
    </w:p>
    <w:p w14:paraId="655FCAC7">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4.城市更新项目如何实现自平衡？平衡不了如何操作</w:t>
      </w:r>
    </w:p>
    <w:p w14:paraId="58C2622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color w:val="000000" w:themeColor="text1"/>
          <w:sz w:val="28"/>
          <w:szCs w:val="28"/>
          <w14:textFill>
            <w14:solidFill>
              <w14:schemeClr w14:val="tx1"/>
            </w14:solidFill>
          </w14:textFill>
        </w:rPr>
        <w:t>5.城市更</w:t>
      </w:r>
      <w:r>
        <w:rPr>
          <w:rStyle w:val="7"/>
          <w:rFonts w:hint="eastAsia" w:ascii="楷体" w:hAnsi="楷体" w:eastAsia="楷体"/>
          <w:b w:val="0"/>
          <w:bCs w:val="0"/>
          <w:sz w:val="28"/>
          <w:szCs w:val="28"/>
        </w:rPr>
        <w:t>新项目资金申请类别分析</w:t>
      </w:r>
    </w:p>
    <w:p w14:paraId="343C7CB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（1）中央预算内投资</w:t>
      </w:r>
    </w:p>
    <w:p w14:paraId="0F89265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（2）中央财政补助资金</w:t>
      </w:r>
    </w:p>
    <w:p w14:paraId="1B909161">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（3）超长期特别国债</w:t>
      </w:r>
    </w:p>
    <w:p w14:paraId="1425EB71">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（4）专项债</w:t>
      </w:r>
    </w:p>
    <w:p w14:paraId="0DC6002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（5）新型政策性金融工具</w:t>
      </w:r>
    </w:p>
    <w:p w14:paraId="0001AC0C">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（6）再贷款</w:t>
      </w:r>
    </w:p>
    <w:p w14:paraId="378A26BF">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6.老旧街区改造项目的运作实务</w:t>
      </w:r>
    </w:p>
    <w:p w14:paraId="49FD4EA5">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（1）老旧街区改造的性质特点分析和运作思路及相关案例</w:t>
      </w:r>
    </w:p>
    <w:p w14:paraId="15BEE0F1">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（2）地方平台公司在老旧街区改造中的作用及与社会资本的合作模式</w:t>
      </w:r>
    </w:p>
    <w:p w14:paraId="56C83E9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（3）如何以轻资产形式主导开展老旧街区改造</w:t>
      </w:r>
    </w:p>
    <w:p w14:paraId="5B15F3C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（4）老旧街区改造中如何处理产权分散的问题</w:t>
      </w:r>
    </w:p>
    <w:p w14:paraId="74371494">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7.老旧厂区改造项目的运作实务</w:t>
      </w:r>
    </w:p>
    <w:p w14:paraId="001D5D71">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（1）老旧厂区改造特点的性质特点分析</w:t>
      </w:r>
    </w:p>
    <w:p w14:paraId="01966C4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（2）老旧厂区改造中“工改工”“工改商”“工改居”“工改混”的案例分析</w:t>
      </w:r>
    </w:p>
    <w:p w14:paraId="02C4AA6D">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（3）以政府收储形式回收老旧厂区土地资产的要点及案例分析</w:t>
      </w:r>
    </w:p>
    <w:p w14:paraId="4DCAD62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（4）以资产收购和股权收购形式获得老旧厂区土地资产的要点及案例分析</w:t>
      </w:r>
    </w:p>
    <w:p w14:paraId="59B9A9D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（5）老旧厂区中多个原产权人的联合盘活的案例分析</w:t>
      </w:r>
    </w:p>
    <w:p w14:paraId="1332C36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8.城市更新项目可采取的投融资模式及案例解析</w:t>
      </w:r>
    </w:p>
    <w:p w14:paraId="0F48006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（1）收储做地模式</w:t>
      </w:r>
    </w:p>
    <w:p w14:paraId="1D7E1D3B">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（2）土地权利归宗模式</w:t>
      </w:r>
    </w:p>
    <w:p w14:paraId="0A3434BB">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（3）土地权利人与第三方企业合作模式</w:t>
      </w:r>
    </w:p>
    <w:p w14:paraId="0FD7AAAD">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（4）存量用地房屋转型升级</w:t>
      </w:r>
    </w:p>
    <w:p w14:paraId="5FBB5FED">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（5）轻重资产并购更新模式</w:t>
      </w:r>
    </w:p>
    <w:p w14:paraId="325BDFF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9.城市更新项目融资模式案例分享</w:t>
      </w:r>
    </w:p>
    <w:p w14:paraId="09ABCA8B">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（1）城市更新项目融资的特征（清单制管理、专款专用和资金封闭管理）</w:t>
      </w:r>
    </w:p>
    <w:p w14:paraId="45C92C05">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（2）新形势下金融机构开展城市更新融资</w:t>
      </w:r>
    </w:p>
    <w:p w14:paraId="42EC11E9">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a、购置提升贷、并购贷款、经营性物业贷的应用</w:t>
      </w:r>
    </w:p>
    <w:p w14:paraId="3D48396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b、一二级分段+融资的模式要点及案例分析</w:t>
      </w:r>
    </w:p>
    <w:p w14:paraId="756BEF58">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c、一二级联动融资（反向委托及反向购买）的条件、运作要点及案例分享</w:t>
      </w:r>
    </w:p>
    <w:p w14:paraId="74AC92D6">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（3）案例分享</w:t>
      </w:r>
    </w:p>
    <w:p w14:paraId="39845B97">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10.</w:t>
      </w:r>
      <w:r>
        <w:rPr>
          <w:rFonts w:hint="eastAsia"/>
          <w:sz w:val="28"/>
          <w:szCs w:val="28"/>
        </w:rPr>
        <w:t xml:space="preserve"> </w:t>
      </w:r>
      <w:r>
        <w:rPr>
          <w:rStyle w:val="7"/>
          <w:rFonts w:hint="eastAsia" w:ascii="楷体" w:hAnsi="楷体" w:eastAsia="楷体"/>
          <w:b w:val="0"/>
          <w:bCs w:val="0"/>
          <w:sz w:val="28"/>
          <w:szCs w:val="28"/>
        </w:rPr>
        <w:t>城中村改造资金来源及项目的运作实务案例解析</w:t>
      </w:r>
    </w:p>
    <w:p w14:paraId="4360AF0B">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（1）300地级市获得城中村改造项目资金支持政策：城中村中央预算资金（包括中央投资及超长特别国债）、专项债、城中村改造专项借款（央行投放PSL审贷的主要条件）、金监局对商业银行为城中村提供贷款</w:t>
      </w:r>
    </w:p>
    <w:p w14:paraId="5998F1AE">
      <w:pPr>
        <w:pStyle w:val="4"/>
        <w:shd w:val="clear" w:color="auto" w:fill="FFFFFF"/>
        <w:spacing w:before="0" w:beforeAutospacing="0" w:after="0" w:afterAutospacing="0" w:line="520" w:lineRule="exact"/>
        <w:rPr>
          <w:rStyle w:val="7"/>
          <w:rFonts w:hint="eastAsia" w:ascii="楷体" w:hAnsi="楷体" w:eastAsia="楷体"/>
          <w:b w:val="0"/>
          <w:bCs w:val="0"/>
          <w:sz w:val="28"/>
          <w:szCs w:val="28"/>
        </w:rPr>
      </w:pPr>
      <w:r>
        <w:rPr>
          <w:rStyle w:val="7"/>
          <w:rFonts w:hint="eastAsia" w:ascii="楷体" w:hAnsi="楷体" w:eastAsia="楷体"/>
          <w:b w:val="0"/>
          <w:bCs w:val="0"/>
          <w:sz w:val="28"/>
          <w:szCs w:val="28"/>
        </w:rPr>
        <w:t>（2）城中村改造投融资模式解析及案例分享（第二批落地项目）</w:t>
      </w:r>
    </w:p>
    <w:p w14:paraId="7C4BDABB">
      <w:pPr>
        <w:pStyle w:val="4"/>
        <w:shd w:val="clear" w:color="auto" w:fill="FFFFFF"/>
        <w:spacing w:before="0" w:beforeAutospacing="0" w:after="0" w:afterAutospacing="0" w:line="520" w:lineRule="exact"/>
        <w:rPr>
          <w:rStyle w:val="7"/>
          <w:rFonts w:hint="eastAsia" w:ascii="楷体" w:hAnsi="楷体" w:eastAsia="楷体"/>
          <w:color w:val="000000" w:themeColor="text1"/>
          <w:sz w:val="28"/>
          <w:szCs w:val="28"/>
          <w14:textFill>
            <w14:solidFill>
              <w14:schemeClr w14:val="tx1"/>
            </w14:solidFill>
          </w14:textFill>
        </w:rPr>
      </w:pPr>
      <w:bookmarkStart w:id="7" w:name="OLE_LINK8"/>
      <w:r>
        <w:rPr>
          <w:rStyle w:val="7"/>
          <w:rFonts w:hint="eastAsia" w:ascii="楷体" w:hAnsi="楷体" w:eastAsia="楷体"/>
          <w:color w:val="000000" w:themeColor="text1"/>
          <w:sz w:val="28"/>
          <w:szCs w:val="28"/>
          <w14:textFill>
            <w14:solidFill>
              <w14:schemeClr w14:val="tx1"/>
            </w14:solidFill>
          </w14:textFill>
        </w:rPr>
        <w:t>模块五、低空经济基础设施领域的投融资模式分析</w:t>
      </w:r>
    </w:p>
    <w:bookmarkEnd w:id="7"/>
    <w:p w14:paraId="05132DA6">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bookmarkStart w:id="8" w:name="OLE_LINK10"/>
      <w:r>
        <w:rPr>
          <w:rStyle w:val="7"/>
          <w:rFonts w:hint="eastAsia" w:ascii="楷体" w:hAnsi="楷体" w:eastAsia="楷体"/>
          <w:b w:val="0"/>
          <w:bCs w:val="0"/>
          <w:color w:val="000000" w:themeColor="text1"/>
          <w:sz w:val="28"/>
          <w:szCs w:val="28"/>
          <w14:textFill>
            <w14:solidFill>
              <w14:schemeClr w14:val="tx1"/>
            </w14:solidFill>
          </w14:textFill>
        </w:rPr>
        <w:t>（一）低空经济的发展趋势分析</w:t>
      </w:r>
    </w:p>
    <w:p w14:paraId="4BCAFA9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1.低空经济的内涵及对当今社会的重要意义</w:t>
      </w:r>
    </w:p>
    <w:p w14:paraId="44FB6E88">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2.中央对于低空经济的支持政策</w:t>
      </w:r>
    </w:p>
    <w:p w14:paraId="7CCC39C9">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3.低空经济的产业结构及产业链分析</w:t>
      </w:r>
    </w:p>
    <w:p w14:paraId="41D1C0D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4.各种“低空经济+”应用场景的展望与分析</w:t>
      </w:r>
    </w:p>
    <w:p w14:paraId="4DD8C432">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（二）低空经济视角下的基础设施领域的投融资模式探索</w:t>
      </w:r>
    </w:p>
    <w:p w14:paraId="5CBF990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1.低空经济下“新基建”的类型及分析</w:t>
      </w:r>
    </w:p>
    <w:p w14:paraId="3D5DA9CF">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2.低空经济下基础设施建设与当前我国投融资模式的结合</w:t>
      </w:r>
    </w:p>
    <w:p w14:paraId="4D4839FF">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1）专项债模式</w:t>
      </w:r>
    </w:p>
    <w:p w14:paraId="66E5D6A2">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（1）低空经济申报专项债的谋划思路及案例解析</w:t>
      </w:r>
    </w:p>
    <w:p w14:paraId="1A67ED6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（2）低空经济领域专项债券项目的市场发行情况</w:t>
      </w:r>
    </w:p>
    <w:p w14:paraId="200A64A1">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2）特许经营模式在低空经济领域适用的可行性及领域分析</w:t>
      </w:r>
    </w:p>
    <w:p w14:paraId="49C3256B">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3）授权开发模式（采用资本金注入等方式市场化运作低空经济基建项目）的运作要点及案例分享</w:t>
      </w:r>
    </w:p>
    <w:p w14:paraId="5E7F44CC">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4）投资人+EPC模式（采用企业投资模式市场化运作低空经济基建项目）的运作要点及案例分享</w:t>
      </w:r>
    </w:p>
    <w:p w14:paraId="7ECF581D">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（三）充分利用中央政策性资金支持低空经济的基础设施建设</w:t>
      </w:r>
    </w:p>
    <w:p w14:paraId="737451EF">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1.低空超长期特别国债申报要点及策略</w:t>
      </w:r>
    </w:p>
    <w:p w14:paraId="50783256">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r>
        <w:rPr>
          <w:rStyle w:val="7"/>
          <w:rFonts w:hint="eastAsia" w:ascii="楷体" w:hAnsi="楷体" w:eastAsia="楷体"/>
          <w:b w:val="0"/>
          <w:bCs w:val="0"/>
          <w:color w:val="000000" w:themeColor="text1"/>
          <w:sz w:val="28"/>
          <w:szCs w:val="28"/>
          <w14:textFill>
            <w14:solidFill>
              <w14:schemeClr w14:val="tx1"/>
            </w14:solidFill>
          </w14:textFill>
        </w:rPr>
        <w:t>2.低空中央预算内资金申报要点及策略</w:t>
      </w:r>
    </w:p>
    <w:bookmarkEnd w:id="8"/>
    <w:p w14:paraId="608DC6DF">
      <w:pPr>
        <w:pStyle w:val="4"/>
        <w:shd w:val="clear" w:color="auto" w:fill="FFFFFF"/>
        <w:spacing w:before="0" w:beforeAutospacing="0" w:after="0" w:afterAutospacing="0" w:line="520" w:lineRule="exact"/>
        <w:rPr>
          <w:rStyle w:val="7"/>
          <w:rFonts w:hint="eastAsia" w:ascii="楷体" w:hAnsi="楷体" w:eastAsia="楷体"/>
          <w:b w:val="0"/>
          <w:bCs w:val="0"/>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B"/>
    <w:rsid w:val="0002187D"/>
    <w:rsid w:val="00052CAA"/>
    <w:rsid w:val="00070F04"/>
    <w:rsid w:val="0007138E"/>
    <w:rsid w:val="000C1DF6"/>
    <w:rsid w:val="000D673D"/>
    <w:rsid w:val="000F6778"/>
    <w:rsid w:val="000F6AAB"/>
    <w:rsid w:val="001004D0"/>
    <w:rsid w:val="00115668"/>
    <w:rsid w:val="00130FD8"/>
    <w:rsid w:val="001537E9"/>
    <w:rsid w:val="001626AE"/>
    <w:rsid w:val="00162A51"/>
    <w:rsid w:val="00167A1A"/>
    <w:rsid w:val="00177A8E"/>
    <w:rsid w:val="00181EBD"/>
    <w:rsid w:val="001A453D"/>
    <w:rsid w:val="001A7951"/>
    <w:rsid w:val="002155B3"/>
    <w:rsid w:val="002652E5"/>
    <w:rsid w:val="00273E34"/>
    <w:rsid w:val="00283083"/>
    <w:rsid w:val="002916D7"/>
    <w:rsid w:val="002A5A13"/>
    <w:rsid w:val="002B679E"/>
    <w:rsid w:val="002C379E"/>
    <w:rsid w:val="002E260D"/>
    <w:rsid w:val="003008BA"/>
    <w:rsid w:val="00310A13"/>
    <w:rsid w:val="0032498C"/>
    <w:rsid w:val="003518EE"/>
    <w:rsid w:val="00361693"/>
    <w:rsid w:val="003814E0"/>
    <w:rsid w:val="00384E34"/>
    <w:rsid w:val="003E62E2"/>
    <w:rsid w:val="003E6C7F"/>
    <w:rsid w:val="003F4C71"/>
    <w:rsid w:val="003F5423"/>
    <w:rsid w:val="00402B6B"/>
    <w:rsid w:val="00421868"/>
    <w:rsid w:val="004377D1"/>
    <w:rsid w:val="00485043"/>
    <w:rsid w:val="004D479B"/>
    <w:rsid w:val="004E6CDA"/>
    <w:rsid w:val="004F499D"/>
    <w:rsid w:val="0052521B"/>
    <w:rsid w:val="00526379"/>
    <w:rsid w:val="005343D5"/>
    <w:rsid w:val="0053536F"/>
    <w:rsid w:val="0054119B"/>
    <w:rsid w:val="00557C8F"/>
    <w:rsid w:val="0056298E"/>
    <w:rsid w:val="00565F47"/>
    <w:rsid w:val="00574857"/>
    <w:rsid w:val="005A27C4"/>
    <w:rsid w:val="005A7497"/>
    <w:rsid w:val="005C0114"/>
    <w:rsid w:val="005C31DF"/>
    <w:rsid w:val="005D0285"/>
    <w:rsid w:val="005D3E40"/>
    <w:rsid w:val="00613F1D"/>
    <w:rsid w:val="00624A6B"/>
    <w:rsid w:val="006272C2"/>
    <w:rsid w:val="006326A3"/>
    <w:rsid w:val="00646730"/>
    <w:rsid w:val="0065067D"/>
    <w:rsid w:val="00650D18"/>
    <w:rsid w:val="00655B6A"/>
    <w:rsid w:val="00660256"/>
    <w:rsid w:val="006645D6"/>
    <w:rsid w:val="00682B21"/>
    <w:rsid w:val="006D5084"/>
    <w:rsid w:val="006F53DF"/>
    <w:rsid w:val="00727B42"/>
    <w:rsid w:val="00743F2B"/>
    <w:rsid w:val="007804E7"/>
    <w:rsid w:val="007861E5"/>
    <w:rsid w:val="007C2982"/>
    <w:rsid w:val="007E580D"/>
    <w:rsid w:val="007F1B18"/>
    <w:rsid w:val="008777D3"/>
    <w:rsid w:val="00896BC6"/>
    <w:rsid w:val="0093086D"/>
    <w:rsid w:val="00930B5B"/>
    <w:rsid w:val="0098717D"/>
    <w:rsid w:val="009A025D"/>
    <w:rsid w:val="009A1E6B"/>
    <w:rsid w:val="009F6A17"/>
    <w:rsid w:val="00A70B00"/>
    <w:rsid w:val="00A82979"/>
    <w:rsid w:val="00AC0694"/>
    <w:rsid w:val="00AC0A06"/>
    <w:rsid w:val="00AE0A8A"/>
    <w:rsid w:val="00AF4F2C"/>
    <w:rsid w:val="00B06234"/>
    <w:rsid w:val="00BB3B5A"/>
    <w:rsid w:val="00BD46C7"/>
    <w:rsid w:val="00C22314"/>
    <w:rsid w:val="00C865A6"/>
    <w:rsid w:val="00C92F1A"/>
    <w:rsid w:val="00C940B9"/>
    <w:rsid w:val="00CA7CB8"/>
    <w:rsid w:val="00CB0B8E"/>
    <w:rsid w:val="00CD2BCE"/>
    <w:rsid w:val="00CE2D1D"/>
    <w:rsid w:val="00CF4596"/>
    <w:rsid w:val="00D15100"/>
    <w:rsid w:val="00D20414"/>
    <w:rsid w:val="00D25829"/>
    <w:rsid w:val="00D30A21"/>
    <w:rsid w:val="00D342C4"/>
    <w:rsid w:val="00D63518"/>
    <w:rsid w:val="00D76C1E"/>
    <w:rsid w:val="00D80740"/>
    <w:rsid w:val="00D86A0F"/>
    <w:rsid w:val="00DB44DD"/>
    <w:rsid w:val="00DC111A"/>
    <w:rsid w:val="00DC6377"/>
    <w:rsid w:val="00DD3188"/>
    <w:rsid w:val="00DD573B"/>
    <w:rsid w:val="00DD5FCC"/>
    <w:rsid w:val="00DE3919"/>
    <w:rsid w:val="00E73C9B"/>
    <w:rsid w:val="00E91D04"/>
    <w:rsid w:val="00EC42AD"/>
    <w:rsid w:val="00F025F4"/>
    <w:rsid w:val="00F048D2"/>
    <w:rsid w:val="00F16D50"/>
    <w:rsid w:val="00F50EF5"/>
    <w:rsid w:val="00F94E8F"/>
    <w:rsid w:val="00FA4BC3"/>
    <w:rsid w:val="00FB3769"/>
    <w:rsid w:val="00FB7632"/>
    <w:rsid w:val="00FD05F1"/>
    <w:rsid w:val="0D0B1D5A"/>
    <w:rsid w:val="151D07A0"/>
    <w:rsid w:val="18A0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2453</Words>
  <Characters>2586</Characters>
  <Lines>19</Lines>
  <Paragraphs>5</Paragraphs>
  <TotalTime>0</TotalTime>
  <ScaleCrop>false</ScaleCrop>
  <LinksUpToDate>false</LinksUpToDate>
  <CharactersWithSpaces>2591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Lenovo</dc:creator>
  <cp:lastModifiedBy>Mr Wu</cp:lastModifiedBy>
  <dcterms:modified xsi:type="dcterms:W3CDTF">2025-09-01T06:36:51Z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eyJoZGlkIjoiYmZiNzE5ZmE3NTQzY2QyMzY1YjU2YTk2MjY4ZDQ2ZDgifQ==</vt:lpwstr>
  </property>
  <property fmtid="{D5CDD505-2E9C-101B-9397-08002B2CF9AE}" pid="3" name="KSOProductBuildVer">
    <vt:lpwstr>2052-12.1.0.22529</vt:lpwstr>
  </property>
  <property fmtid="{D5CDD505-2E9C-101B-9397-08002B2CF9AE}" pid="4" name="ICV">
    <vt:lpwstr>96A5AC7832934FF7A76B375CF4244B59_13</vt:lpwstr>
  </property>
</Properties>
</file>